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0"/>
        <w:gridCol w:w="4089"/>
        <w:gridCol w:w="4191"/>
      </w:tblGrid>
      <w:tr w:rsidR="00FC4DF0" w:rsidRPr="00FC4DF0" w:rsidTr="00CC0AAD">
        <w:trPr>
          <w:trHeight w:val="354"/>
        </w:trPr>
        <w:tc>
          <w:tcPr>
            <w:tcW w:w="1440" w:type="dxa"/>
            <w:vAlign w:val="center"/>
            <w:hideMark/>
          </w:tcPr>
          <w:p w:rsidR="00FC4DF0" w:rsidRPr="00FC4DF0" w:rsidRDefault="00FC4DF0" w:rsidP="00FC4DF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6D57F88" wp14:editId="278A71BA">
                  <wp:extent cx="571500" cy="5715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2"/>
            <w:vAlign w:val="center"/>
            <w:hideMark/>
          </w:tcPr>
          <w:p w:rsidR="00FC4DF0" w:rsidRPr="00FC4DF0" w:rsidRDefault="00FC4DF0" w:rsidP="00FC4DF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ФЕДЕРАЛЬНОЕ ГОСУДАРСТВЕННОЕ БЮДЖЕТНОЕ </w:t>
            </w:r>
          </w:p>
          <w:p w:rsidR="00FC4DF0" w:rsidRPr="00FC4DF0" w:rsidRDefault="00FC4DF0" w:rsidP="00FC4DF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ОБРАЗОВАТЕЛЬНОЕ УЧРЕЖДЕНИЕ ВЫСШЕГО ОБРАЗОВАНИЯ</w:t>
            </w: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«БАШКИРСКИЙ ГОСУДАРСТВЕННЫЙ МЕДИЦИНСКИЙ УНИВЕРСИТЕТ» </w:t>
            </w: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МИНИСТЕРСТВА ЗДРАВООХРАНЕНИЯ РОССИЙСКОЙ ФЕДЕРАЦИИ</w:t>
            </w:r>
          </w:p>
        </w:tc>
      </w:tr>
      <w:tr w:rsidR="00FC4DF0" w:rsidRPr="00FC4DF0" w:rsidTr="00CC0AAD">
        <w:trPr>
          <w:cantSplit/>
          <w:trHeight w:val="2371"/>
        </w:trPr>
        <w:tc>
          <w:tcPr>
            <w:tcW w:w="5529" w:type="dxa"/>
            <w:gridSpan w:val="2"/>
            <w:vAlign w:val="center"/>
          </w:tcPr>
          <w:p w:rsidR="00FC4DF0" w:rsidRPr="00FC4DF0" w:rsidRDefault="00FC4DF0" w:rsidP="00FC4DF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91" w:type="dxa"/>
            <w:vAlign w:val="center"/>
          </w:tcPr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FC4DF0" w:rsidRPr="00FC4DF0" w:rsidRDefault="00FC4DF0" w:rsidP="00FC4DF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 работе</w:t>
            </w:r>
          </w:p>
          <w:p w:rsidR="00FC4DF0" w:rsidRPr="00FC4DF0" w:rsidRDefault="00FC4DF0" w:rsidP="00FC4DF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 А.А. </w:t>
            </w:r>
            <w:proofErr w:type="spellStart"/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Цыглин</w:t>
            </w:r>
            <w:proofErr w:type="spellEnd"/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«___»  _________  201</w:t>
            </w: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 xml:space="preserve"> г.</w:t>
            </w:r>
          </w:p>
        </w:tc>
      </w:tr>
      <w:tr w:rsidR="00FC4DF0" w:rsidRPr="00FC4DF0" w:rsidTr="00CC0AAD">
        <w:trPr>
          <w:trHeight w:val="2782"/>
        </w:trPr>
        <w:tc>
          <w:tcPr>
            <w:tcW w:w="9720" w:type="dxa"/>
            <w:gridSpan w:val="3"/>
            <w:vAlign w:val="center"/>
          </w:tcPr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ГОСУДАРСТВЕННАЯ ИТОГОВАЯ АТТЕСТАЦИЯ ВЫПУСКНИКОВ, ОБУЧАЮЩИХСЯ ПО ПРОГРАММАМ ПОДГОТОВКИ КАДРОВ ВЫСШЕЙ КВАЛИФИКАЦИИ В ОРДИНАТУРЕ </w:t>
            </w:r>
          </w:p>
          <w:p w:rsidR="00FC4DF0" w:rsidRPr="00FC4DF0" w:rsidRDefault="00FC4DF0" w:rsidP="00FC4DF0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Учебный год  </w:t>
            </w:r>
            <w:r w:rsidRPr="00FC4D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</w:t>
            </w:r>
          </w:p>
        </w:tc>
      </w:tr>
      <w:tr w:rsidR="00FC4DF0" w:rsidRPr="00FC4DF0" w:rsidTr="00CC0AAD">
        <w:trPr>
          <w:trHeight w:val="1942"/>
        </w:trPr>
        <w:tc>
          <w:tcPr>
            <w:tcW w:w="5529" w:type="dxa"/>
            <w:gridSpan w:val="2"/>
            <w:vAlign w:val="center"/>
          </w:tcPr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</w:t>
            </w:r>
          </w:p>
          <w:p w:rsidR="00FC4DF0" w:rsidRPr="00FC4DF0" w:rsidRDefault="00FC4DF0" w:rsidP="00FC4DF0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</w:t>
            </w:r>
          </w:p>
        </w:tc>
        <w:tc>
          <w:tcPr>
            <w:tcW w:w="4191" w:type="dxa"/>
            <w:vAlign w:val="center"/>
          </w:tcPr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31.08.37 Клиническая фармакология</w:t>
            </w:r>
          </w:p>
          <w:p w:rsidR="00FC4DF0" w:rsidRPr="00FC4DF0" w:rsidRDefault="00FC4DF0" w:rsidP="00FC4DF0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FC4D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Врач – клинический фармаколог</w:t>
            </w:r>
          </w:p>
        </w:tc>
      </w:tr>
      <w:tr w:rsidR="00FC4DF0" w:rsidRPr="00FC4DF0" w:rsidTr="00CC0AAD">
        <w:trPr>
          <w:trHeight w:val="6122"/>
        </w:trPr>
        <w:tc>
          <w:tcPr>
            <w:tcW w:w="9720" w:type="dxa"/>
            <w:gridSpan w:val="3"/>
            <w:vAlign w:val="center"/>
          </w:tcPr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Этап </w:t>
            </w:r>
            <w:r w:rsidRPr="00FC4D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 № 4</w:t>
            </w: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4DF0" w:rsidRPr="00FC4DF0" w:rsidRDefault="00FC4DF0" w:rsidP="00FC4DF0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Уфа 2018</w:t>
            </w:r>
          </w:p>
          <w:p w:rsidR="00FC4DF0" w:rsidRPr="00FC4DF0" w:rsidRDefault="00FC4DF0" w:rsidP="00FC4DF0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4DF0" w:rsidRPr="00FC4DF0" w:rsidRDefault="00FC4DF0" w:rsidP="00FC4DF0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4DF0" w:rsidRPr="00FC4DF0" w:rsidRDefault="00FC4DF0" w:rsidP="00FC4DF0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FC4D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                           </w:t>
            </w:r>
          </w:p>
          <w:p w:rsidR="00FC4DF0" w:rsidRPr="00FC4DF0" w:rsidRDefault="00FC4DF0" w:rsidP="00FC4DF0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FC4DF0" w:rsidRPr="00FC4DF0" w:rsidRDefault="00FC4DF0" w:rsidP="00FC4DF0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FC4DF0" w:rsidRPr="00FC4DF0" w:rsidRDefault="00FC4DF0" w:rsidP="00FC4DF0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337C6" w:rsidRDefault="00E337C6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Default="00FC4DF0"/>
    <w:p w:rsidR="00FC4DF0" w:rsidRPr="00C62EFC" w:rsidRDefault="00FC4DF0" w:rsidP="00FC4DF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001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ЭРАДИКАЦИОННОЙ ТЕРАПИИ ПЕРВОЙ ЛИНИИ ПРОТИВ H.PYLORI  ПРИМЕНЯЕТСЯ: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джозамицин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кларитромицин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фуразолидон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цефатаксим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002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ЭРАДИКАЦИОННОЙ ТЕРАПИИ ПЕРВОЙ ЛИНИИ ПРОТИВ H.PYLORI  ПРИМЕНЯЕТСЯ: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джозамицин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амоксоциллин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фуразолидон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бисептол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003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ЭРАДИКАЦИОННОЙ ТЕРАПИИ ВТОРОЙ ЛИНИИ ПРОТИВ H.PYLORI  ПРИМЕНЯЕТСЯ: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азитромицин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метронидазол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фуразолидон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амоксиклав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004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ЭРАДИКАЦИОННОЙ ТЕРАПИИ ВТОРОЙ ЛИНИИ ПРОТИВ H.PYLORI  ПРИМЕНЯЮТСЯ: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амоксиклав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тетрациклин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эритромицин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моксифлоксацин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005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ЭРАДИКАЦИОННОЙ ТЕРАПИИ ПРОТИВ H.PYLORI  ПРИМЕНЯЮТСЯ: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М 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>олинолитики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блокаторы протонной помпы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антациды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спазмолитики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006</w:t>
      </w:r>
      <w:r w:rsidRPr="00C62EFC">
        <w:rPr>
          <w:rFonts w:ascii="Times New Roman" w:hAnsi="Times New Roman" w:cs="Times New Roman"/>
          <w:sz w:val="28"/>
          <w:szCs w:val="28"/>
        </w:rPr>
        <w:tab/>
        <w:t>В ЭРАДИКАЦИОННОЙ ТЕРАПИИ ПРОТИВ H.PYLORI  ПРИ ВЫБОРЕ СХЕМЫ ЛЕЧЕНИЯ ИМЕЕТ ЗНАЧЕНИЕ РАЗВИТИЕ УСТОЙЧИВОСТИ К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ванкомицину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кларитромицину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цефотаксиму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карбенициллину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007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СИНДРОМ РИКОШЕТА ВЫЗЫВАЮТ: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ингибиторы протонной помпы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Б</w:t>
      </w:r>
      <w:r w:rsidRPr="00C62EFC">
        <w:rPr>
          <w:rFonts w:ascii="Times New Roman" w:hAnsi="Times New Roman" w:cs="Times New Roman"/>
          <w:sz w:val="28"/>
          <w:szCs w:val="28"/>
        </w:rPr>
        <w:tab/>
        <w:t>Н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блокаторы рецепторов гистамина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холинолитики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синтетические простагландины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008</w:t>
      </w:r>
      <w:r w:rsidRPr="00C62EFC">
        <w:rPr>
          <w:rFonts w:ascii="Times New Roman" w:hAnsi="Times New Roman" w:cs="Times New Roman"/>
          <w:sz w:val="28"/>
          <w:szCs w:val="28"/>
        </w:rPr>
        <w:tab/>
        <w:t>УГНЕТАЮТ СИСТЕМУ ЦИТОХРОМА Р450: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пантопразол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циметидин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рабепразол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антациды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009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МАКСИМАЛЬНО ПОДАВЛЯЕТ СЕКРЕЦИЮ: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фамотидин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рабепразол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антациды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платифиллин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010</w:t>
      </w:r>
      <w:r w:rsidRPr="00C62EFC">
        <w:rPr>
          <w:rFonts w:ascii="Times New Roman" w:hAnsi="Times New Roman" w:cs="Times New Roman"/>
          <w:sz w:val="28"/>
          <w:szCs w:val="28"/>
        </w:rPr>
        <w:tab/>
        <w:t>МАКСИМАЛЬНОЕ КОЛИЧЕСТВО ПОБОЧНЫХ ЭФФЕКТОВ СРЕДИ Н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БЛОКАТОРОВ ВЫЯВЛЕНО У: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фамотидин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циметидин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ранитидин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пирензепин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011</w:t>
      </w:r>
      <w:r w:rsidRPr="00C62EFC">
        <w:rPr>
          <w:rFonts w:ascii="Times New Roman" w:hAnsi="Times New Roman" w:cs="Times New Roman"/>
          <w:sz w:val="28"/>
          <w:szCs w:val="28"/>
        </w:rPr>
        <w:tab/>
        <w:t>ФАРМАКОЭКОНОМИЧЕСКОЕ ИССЛЕДОВАНИЕ ДВУХ ПРЕПАРАТОВ ЦЕЛЕСООБРАЗНО ПРОВОДИТЬ, ЕСЛИ: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один из препаратов менее эффективный, но более дешевый, чем препарат сравнения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один из препаратов менее эффективный и более дорогой, чем препарат сравнения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один из препаратов более эффективный и более дешевый, чем препарат сравнения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один из препаратов более эффективный и более дорогой, чем препарат сравнения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01</w:t>
      </w:r>
      <w:r w:rsidRPr="00C62EFC">
        <w:rPr>
          <w:rFonts w:ascii="Times New Roman" w:hAnsi="Times New Roman" w:cs="Times New Roman"/>
          <w:sz w:val="28"/>
          <w:szCs w:val="28"/>
        </w:rPr>
        <w:t>2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ФАРМАКОЭКОНОМИЧЕСКИМ ИССЛЕДОВАНИЕМ МОЖНО СЧИТАТЬ ИССЛЕДОВАНИЕ, В КОТОРОМ: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сравнивается и стоимость, и эффективность лечения различными препаратами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сравниваются цены на различные препараты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сравнивается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эффективность различных препаратов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приведены данные о стоимости и эффективности одного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01</w:t>
      </w:r>
      <w:r w:rsidRPr="00C62EFC">
        <w:rPr>
          <w:rFonts w:ascii="Times New Roman" w:hAnsi="Times New Roman" w:cs="Times New Roman"/>
          <w:sz w:val="28"/>
          <w:szCs w:val="28"/>
        </w:rPr>
        <w:t>3</w:t>
      </w:r>
      <w:r w:rsidRPr="00C62EFC">
        <w:rPr>
          <w:rFonts w:ascii="Times New Roman" w:hAnsi="Times New Roman" w:cs="Times New Roman"/>
          <w:sz w:val="28"/>
          <w:szCs w:val="28"/>
        </w:rPr>
        <w:tab/>
        <w:t>ФАРМАКОЭКОНОМИЧЕСКОЕ ИССЛЕДОВАНИЕ «МИНИМИЗАЦИЯ СТОИМОСТИ» МОЖНО ПРОВОДИТЬ: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для двух препаратов и более с одинаковой клинической эффективностью и безопасностью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для двух препаратов и более с одинаковой клинической эффективностью и различной безопасностью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для двух препаратов и более с различной клинической эффективностью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для двух препаратов и более с различной клинической эффективностью, но одинаковой стоимостью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01</w:t>
      </w:r>
      <w:r w:rsidRPr="00C62EFC">
        <w:rPr>
          <w:rFonts w:ascii="Times New Roman" w:hAnsi="Times New Roman" w:cs="Times New Roman"/>
          <w:sz w:val="28"/>
          <w:szCs w:val="28"/>
        </w:rPr>
        <w:t>4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ПРИ ПРОВЕДЕНИИ ФАРМАКОЭКОНОМИЧЕСКОГО АНАЛИЗА В ЛЕЧЕБНОМ УЧРЕЖДЕНИИ НЕОБХОДИМО УЧИТЫВАТЬ РАСХОДЫ 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>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приобретение лекарственных средств, проведение лабораторных и инструментальных исследований, оплату труда медицинских работников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проведение лабораторных и инструментальных исследований, оплату труда медицинских работников, выплату по больничным листам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оплату труда медицинских работников, выплату по больничным листам, приобретение лекарственных средств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выплату по больничным листам, приобретение лекарственных средств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01</w:t>
      </w:r>
      <w:r w:rsidRPr="00C62EFC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НЕПРЯМЫМ МЕДИЦИНСКИМ РАСХОДАМ ОТНОСЯТСЯ: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оплата счетов на электроэнергию для стационара; оплата труда среднего и младшего медицинского персонала, обеспечивающих уход за больным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оплата счетов на электроэнергию для стационара;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>затраты родственников, обеспечивающих уход за больным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затраты родственников, обеспечивающих уход за больным;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 xml:space="preserve">оплата труда среднего и младшего медицинского персонала, 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уход за больным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оплата труда среднего и младшего медицинского персонала, 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уход за больным;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>приобретение расходных материалов, таких как шприцы, капельницы, перевязочные материалы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016</w:t>
      </w:r>
      <w:r w:rsidRPr="00C62EFC">
        <w:rPr>
          <w:rFonts w:ascii="Times New Roman" w:hAnsi="Times New Roman" w:cs="Times New Roman"/>
          <w:sz w:val="28"/>
          <w:szCs w:val="28"/>
        </w:rPr>
        <w:tab/>
        <w:t>СОСТОЯНИЯ, ПРИ КОТОРЫХ НАБЛЮДАЕТСЯ ОСТРОЕ ПОВЫШЕНИЕ АД: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Абстинентный синдром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Гипогликемия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Тиреотоксикоз</w:t>
      </w:r>
    </w:p>
    <w:p w:rsid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</w:t>
      </w:r>
      <w:r>
        <w:rPr>
          <w:rFonts w:ascii="Times New Roman" w:hAnsi="Times New Roman" w:cs="Times New Roman"/>
          <w:sz w:val="28"/>
          <w:szCs w:val="28"/>
        </w:rPr>
        <w:tab/>
        <w:t xml:space="preserve">Гипотиреоз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017</w:t>
      </w:r>
      <w:r w:rsidRPr="00C62EFC">
        <w:rPr>
          <w:rFonts w:ascii="Times New Roman" w:hAnsi="Times New Roman" w:cs="Times New Roman"/>
          <w:sz w:val="28"/>
          <w:szCs w:val="28"/>
        </w:rPr>
        <w:tab/>
        <w:t>ПРИЧИНЫ ИЗОЛИРОВАННОГО ПОВЫШЕНИЯ СИСТОЛИЧЕСКОГО АД: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Систолическая артериальная гипертензия 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пожилых</w:t>
      </w:r>
      <w:proofErr w:type="gram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Тиреотоксикоз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Болезнь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Педжета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Гипотиреоз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018</w:t>
      </w:r>
      <w:r w:rsidRPr="00C62EFC">
        <w:rPr>
          <w:rFonts w:ascii="Times New Roman" w:hAnsi="Times New Roman" w:cs="Times New Roman"/>
          <w:sz w:val="28"/>
          <w:szCs w:val="28"/>
        </w:rPr>
        <w:tab/>
        <w:t>КУПИРОВАНИЕ ГИПЕРТОНИЧЕСКОГО КРИЗА ПРИ ФЕОХРОМОЦИТОМЕ: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Лабетолол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Клофелин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Дибазол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седуксен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019</w:t>
      </w:r>
      <w:r w:rsidRPr="00C62EFC">
        <w:rPr>
          <w:rFonts w:ascii="Times New Roman" w:hAnsi="Times New Roman" w:cs="Times New Roman"/>
          <w:sz w:val="28"/>
          <w:szCs w:val="28"/>
        </w:rPr>
        <w:tab/>
        <w:t>ВЫБОР ГИПОТЕНЗИВНОЙ ТЕРАПИИ ПРИ ДЕПРЕССИВНЫХ СОСТОЯНИЯХ: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Антагонисты кальция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Бета-блокаторы селективные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Бета-блокаторы неселективные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Физиотенз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020</w:t>
      </w:r>
      <w:r w:rsidRPr="00C62EFC">
        <w:rPr>
          <w:rFonts w:ascii="Times New Roman" w:hAnsi="Times New Roman" w:cs="Times New Roman"/>
          <w:sz w:val="28"/>
          <w:szCs w:val="28"/>
        </w:rPr>
        <w:tab/>
        <w:t>ВЫБОР ГИПОТЕНЗИВНОЙ ТЕРАПИИ У БЕРЕМЕННЫХ: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Метилдопа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Диуретики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Ингибиторы АПФ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Сартаны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021</w:t>
      </w:r>
      <w:r w:rsidRPr="00C62EFC">
        <w:rPr>
          <w:rFonts w:ascii="Times New Roman" w:hAnsi="Times New Roman" w:cs="Times New Roman"/>
          <w:sz w:val="28"/>
          <w:szCs w:val="28"/>
        </w:rPr>
        <w:tab/>
        <w:t>ВЫБОР ГИПОТЕНЗИВНОЙ ТЕРАПИИ ПРИ ЗАТРУДНЕНИИ МОЧЕИСПУСКАНИЯ У МУЖЧИН: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Альфа-1-адреноблокаторы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Бета-блокаторы неселективные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Тиазидные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диуретики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Антагонисты кальция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022</w:t>
      </w:r>
      <w:r w:rsidRPr="00C62EFC">
        <w:rPr>
          <w:rFonts w:ascii="Times New Roman" w:hAnsi="Times New Roman" w:cs="Times New Roman"/>
          <w:sz w:val="28"/>
          <w:szCs w:val="28"/>
        </w:rPr>
        <w:tab/>
        <w:t>ВЫБОР ГИПОТЕНЗИВНОЙ ТЕРАПИИ ПРИ СТЕНОЗЕ ПОЧЕЧНЫХ АРТЕРИЙ: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Дилтиазем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Ингибиторы АПФ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Диуретики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Солкосерил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023</w:t>
      </w:r>
      <w:r w:rsidRPr="00C62EFC">
        <w:rPr>
          <w:rFonts w:ascii="Times New Roman" w:hAnsi="Times New Roman" w:cs="Times New Roman"/>
          <w:sz w:val="28"/>
          <w:szCs w:val="28"/>
        </w:rPr>
        <w:tab/>
        <w:t>ГИПОТЕНЗИВНЫЕ ПРЕПАРАТЫ, УМЕНЬШАЮЩИЕ ПРОТЕИНУРИЮ: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Антагонисты рецепторов АТ, ингибиторы АПФ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Ингибиторы АПФ, диуретики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Антагонисты кальция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Центральные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агонсты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024</w:t>
      </w:r>
      <w:r w:rsidRPr="00C62EFC">
        <w:rPr>
          <w:rFonts w:ascii="Times New Roman" w:hAnsi="Times New Roman" w:cs="Times New Roman"/>
          <w:sz w:val="28"/>
          <w:szCs w:val="28"/>
        </w:rPr>
        <w:tab/>
        <w:t>ГИПОТЕНЗИВНЫЕ ПРЕПАРАТЫ, КОТОРЫЕ МОГУТ УВЕЛИЧИТЬ АКТИВНОСТЬ СИМПАТОАДРЕНАЛОВОЙ СИСТЕМЫ: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Диуретики,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нифедипин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Кардиоселективные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бета-блокаторы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Верапамил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нифедипин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Дилтиазем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>, диуретики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025</w:t>
      </w:r>
      <w:r w:rsidRPr="00C62EFC">
        <w:rPr>
          <w:rFonts w:ascii="Times New Roman" w:hAnsi="Times New Roman" w:cs="Times New Roman"/>
          <w:sz w:val="28"/>
          <w:szCs w:val="28"/>
        </w:rPr>
        <w:tab/>
        <w:t>ПРОТИВОПОКАЗАНИЯ К НАЗНАЧЕНИЮ АНТАГОНИСТОВ РЕЦЕПТОРОВ АНГИОТЕНЗИНА II ПРИ СЕРДЕЧНОЙ НЕДОСТАТОЧНОСТИ: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Двусторонний стеноз почечных артерий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Ангионевротические отеки на ингибиторы АПФ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Кашель на ингибиторы АПФ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Кашель </w:t>
      </w:r>
      <w:r>
        <w:rPr>
          <w:rFonts w:ascii="Times New Roman" w:hAnsi="Times New Roman" w:cs="Times New Roman"/>
          <w:sz w:val="28"/>
          <w:szCs w:val="28"/>
        </w:rPr>
        <w:t>на ингибиторы АПФ, беременность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026</w:t>
      </w:r>
      <w:r w:rsidRPr="00C62EFC">
        <w:rPr>
          <w:rFonts w:ascii="Times New Roman" w:hAnsi="Times New Roman" w:cs="Times New Roman"/>
          <w:sz w:val="28"/>
          <w:szCs w:val="28"/>
        </w:rPr>
        <w:tab/>
        <w:t>ВОЗБУДИТЕЛИ, ВЫЗЫВАЮЩИЕ БАКТЕРИАЛЬНЫЕ ПЕРИКАРДИТЫ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Пневмококки, туберкулезная палочка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Пневмококки, токсоплазмы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Актиномицеты, гонококки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Гистоплазма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>, бледная спирохета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027</w:t>
      </w:r>
      <w:r w:rsidRPr="00C62EFC">
        <w:rPr>
          <w:rFonts w:ascii="Times New Roman" w:hAnsi="Times New Roman" w:cs="Times New Roman"/>
          <w:sz w:val="28"/>
          <w:szCs w:val="28"/>
        </w:rPr>
        <w:tab/>
        <w:t>КРИТЕРИИ КРИТИЧЕСКОГО МИТРАЛЬНОГО СТЕНОЗА (ПЛОЩАДЬ МИТРАЛЬНОГО ОТВЕРСТИЯ):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1,0 см 2 и менее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1,1 – 1,5 см 2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1,6 – 2,0 см 2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2,1 – 2,5 см 2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028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ПЛОЩАДЬ МИТРАЛЬНОГО ОТВЕРСТИЯ  В НОРМЕ: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4,1 – 6,0 см 2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5,1 – 6,0 см 2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3,1 – 5,0 см 2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4,1 – 5,5 см 2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029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ОТНОСИТЕЛЬНО НИЗКИЙ РИСК СИНДРОМА ОТМЕНЫ ПРИ ИСПОЛЬЗОВАНИИ БЕТА-БЛОКАТОРОВ: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Небивалол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Метапролол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030</w:t>
      </w:r>
      <w:r w:rsidRPr="00C62EFC">
        <w:rPr>
          <w:rFonts w:ascii="Times New Roman" w:hAnsi="Times New Roman" w:cs="Times New Roman"/>
          <w:sz w:val="28"/>
          <w:szCs w:val="28"/>
        </w:rPr>
        <w:tab/>
        <w:t>ВЫСОКИЙ РИСК СИНДРОМА ОТМЕНЫ ПРИ ИСПОЛЬЗОВАНИИ БЕТА-БЛОКАТОРОВ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Метапролол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пропафенон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Небивалол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пропафенон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031</w:t>
      </w:r>
      <w:r w:rsidRPr="00C62EFC">
        <w:rPr>
          <w:rFonts w:ascii="Times New Roman" w:hAnsi="Times New Roman" w:cs="Times New Roman"/>
          <w:sz w:val="28"/>
          <w:szCs w:val="28"/>
        </w:rPr>
        <w:tab/>
        <w:t>СВОЙСТВА ПРОПРАНОЛОЛА: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7F23DD" w:rsidRPr="00C62EFC">
        <w:rPr>
          <w:rFonts w:ascii="Times New Roman" w:hAnsi="Times New Roman" w:cs="Times New Roman"/>
          <w:sz w:val="28"/>
          <w:szCs w:val="28"/>
        </w:rPr>
        <w:t>длиняет интервал QT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Б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Д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>ействует на бета1-адренорецепторы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Гидрофильный бета-блокатор, препарат короткого действия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Препарат короткого действия, неселективный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032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ГИДРОФИЛЬНЫЕ БЕТА-БЛОКАТОРЫ: </w:t>
      </w:r>
    </w:p>
    <w:p w:rsid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Бетаксолол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Атенолол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>
        <w:rPr>
          <w:rFonts w:ascii="Times New Roman" w:hAnsi="Times New Roman" w:cs="Times New Roman"/>
          <w:sz w:val="28"/>
          <w:szCs w:val="28"/>
        </w:rPr>
        <w:t>Атенолол</w:t>
      </w:r>
      <w:proofErr w:type="spellEnd"/>
      <w:r w:rsidR="007F23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033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ЛИПОФИЛЬНЫЕ БЕТА-БЛОКАТОРЫ: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Метапролол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атенолол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034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НЕСЕЛЕКТИВНЫЕ БЕТА-АДРЕНОБЛОКАТОРЫ: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небивалол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бисопролол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небивалол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пропранолол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соталол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035</w:t>
      </w:r>
      <w:r w:rsidRPr="00C62EFC">
        <w:rPr>
          <w:rFonts w:ascii="Times New Roman" w:hAnsi="Times New Roman" w:cs="Times New Roman"/>
          <w:sz w:val="28"/>
          <w:szCs w:val="28"/>
        </w:rPr>
        <w:tab/>
        <w:t>БЕТА-БЛОКАТОРЫ С ВАЗОДИЛЯТИРУЮЩИМИ СВОЙСТВАМИ: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>
        <w:rPr>
          <w:rFonts w:ascii="Times New Roman" w:hAnsi="Times New Roman" w:cs="Times New Roman"/>
          <w:sz w:val="28"/>
          <w:szCs w:val="28"/>
        </w:rPr>
        <w:t>Бетаксолол</w:t>
      </w:r>
      <w:proofErr w:type="spellEnd"/>
      <w:r w:rsidR="007F23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>
        <w:rPr>
          <w:rFonts w:ascii="Times New Roman" w:hAnsi="Times New Roman" w:cs="Times New Roman"/>
          <w:sz w:val="28"/>
          <w:szCs w:val="28"/>
        </w:rPr>
        <w:t>небивалол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Надолол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метопролол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Небивалол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карведилол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036</w:t>
      </w:r>
      <w:r w:rsidRPr="00C62EFC">
        <w:rPr>
          <w:rFonts w:ascii="Times New Roman" w:hAnsi="Times New Roman" w:cs="Times New Roman"/>
          <w:sz w:val="28"/>
          <w:szCs w:val="28"/>
        </w:rPr>
        <w:tab/>
        <w:t>КЛИНИЧЕСКАЯ ФАРМАКОГЕНЕТИКА ИЗУЧАЕТ: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влияние генетических особенностей пациентов на фармакологический ответ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процессы движения лекарственного средства в организме больного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влияние лекарственных средств на генетический аппарат больного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процессы генерации фармакологических эффектов в организме больного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037</w:t>
      </w:r>
      <w:r w:rsidRPr="00C62EFC">
        <w:rPr>
          <w:rFonts w:ascii="Times New Roman" w:hAnsi="Times New Roman" w:cs="Times New Roman"/>
          <w:sz w:val="28"/>
          <w:szCs w:val="28"/>
        </w:rPr>
        <w:tab/>
        <w:t>ГЕНЕТИЧЕСКИЙ ПОЛИМОРФИЗМ – ЭТО: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существование различных аллельных вариантов одного и тог же гена, ответственного за изменение фармакологического ответа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развитие нескольких фармакологических эффектов при применении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развитие различных изменений генетического аппарата под действием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влияние лекарственных средств на генетический аппарат больного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038</w:t>
      </w:r>
      <w:r w:rsidRPr="00C62EFC">
        <w:rPr>
          <w:rFonts w:ascii="Times New Roman" w:hAnsi="Times New Roman" w:cs="Times New Roman"/>
          <w:sz w:val="28"/>
          <w:szCs w:val="28"/>
        </w:rPr>
        <w:tab/>
        <w:t>ФАРМАКОГЕНЕТИЧЕСКОЕ ТЕСТИРОВАНИЕ ВЫПОЛНЯЕТСЯ С ПОМОЩЬЮ: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полимеразной цепной реакции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иммуноферментного анализа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радиоимунного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анализа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газовой хроматографии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039</w:t>
      </w:r>
      <w:r w:rsidRPr="00C62EFC">
        <w:rPr>
          <w:rFonts w:ascii="Times New Roman" w:hAnsi="Times New Roman" w:cs="Times New Roman"/>
          <w:sz w:val="28"/>
          <w:szCs w:val="28"/>
        </w:rPr>
        <w:tab/>
        <w:t>МАТЕРИАЛОМ ДЛЯ ПРОВЕДЕНИЯ ФАРМАКОГЕНЕТИЧЕСКОГО ТЕСТИРОВАНИЯ МОЖЕТ БЫТЬ: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кровь, собранная из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кубитальной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вены;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>соскоб со слизистой оболочки внутренней поверхности щеки;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 xml:space="preserve">волосы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кровь, собранная из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кубитальной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вены;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>соскоб со слизистой оболочки внутренней поверхности щеки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соскоб со слизистой оболочки внутренней поверхности щеки;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>волосы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кровь, собранная из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кубитальной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вены; волосы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040</w:t>
      </w:r>
      <w:r w:rsidRPr="00C62EFC">
        <w:rPr>
          <w:rFonts w:ascii="Times New Roman" w:hAnsi="Times New Roman" w:cs="Times New Roman"/>
          <w:sz w:val="28"/>
          <w:szCs w:val="28"/>
        </w:rPr>
        <w:tab/>
        <w:t>ИЗМЕНЯТЬ ФАРМАКОДИНАМИКУ ЛЕКАРСТВЕННЫХ СРЕДСТВ МОЖЕТ ПОЛИМОРФИЗМ ГЕНОВ, КОДИРУЮЩИХ: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изоферменты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цитохрома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Р-450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Р1-адренорецепторы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калиевые каналы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рианодиновые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рецепторы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006</w:t>
      </w:r>
      <w:r w:rsidRPr="00C62EFC">
        <w:rPr>
          <w:rFonts w:ascii="Times New Roman" w:hAnsi="Times New Roman" w:cs="Times New Roman"/>
          <w:sz w:val="28"/>
          <w:szCs w:val="28"/>
        </w:rPr>
        <w:tab/>
        <w:t>ИЗМЕНЯТЬ ФАРМАКОДИНАМИКУ ЛЕКАРСТВЕННЫХ СРЕДСТВ МОЖЕТ ПОЛИМОРФИЗМ ГЕНОВ, КОДИРУЮЩИХ: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Р2-адренорецептор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транспортеры органических катионов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гликопротеин-Р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тиопуриметилтрансферазу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041</w:t>
      </w:r>
      <w:r w:rsidRPr="00C62EFC">
        <w:rPr>
          <w:rFonts w:ascii="Times New Roman" w:hAnsi="Times New Roman" w:cs="Times New Roman"/>
          <w:sz w:val="28"/>
          <w:szCs w:val="28"/>
        </w:rPr>
        <w:tab/>
        <w:t>ПРИ ГЕНЕТИЧЕСКИ ДЕТЕРМИНИРОВАННОМ ИЗМЕНЕНИИ ФАРМАКОЛОГИЧЕСКОГО ОТВЕТА, ПРИВОДЯЩЕМУ К НЕДОСТАТОЧНОЙ ЭФФЕКТИВНОСТИ, ВРАЧУ СЛЕДУЕТ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не назначать данное лекарственное средство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назначать данное лекарственное средство в минимальной дозе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назначать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данное лекарственное средство в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среднетерапевтической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дозе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назначать данное лекарственное средство в максимальной дозе</w:t>
      </w:r>
    </w:p>
    <w:p w:rsid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042</w:t>
      </w:r>
      <w:r w:rsidRPr="00C62EFC">
        <w:rPr>
          <w:rFonts w:ascii="Times New Roman" w:hAnsi="Times New Roman" w:cs="Times New Roman"/>
          <w:sz w:val="28"/>
          <w:szCs w:val="28"/>
        </w:rPr>
        <w:tab/>
        <w:t>ПРИ ВЫЯВЛЕНИИ У БОЛЬНОГО ГЕНОТИПА, СООТВЕТСТВУЮЩЕГО «МЕДЛЕННОМУ» МЕТАБОЛИЗАТОРУ, СЛЕДУЕТ ВЫБРАТЬ: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минимальную дозу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среднетерапевтическую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дозу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максимальную дозу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не назначать данное лекарственное средство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043</w:t>
      </w:r>
      <w:r w:rsidRPr="00C62EFC">
        <w:rPr>
          <w:rFonts w:ascii="Times New Roman" w:hAnsi="Times New Roman" w:cs="Times New Roman"/>
          <w:sz w:val="28"/>
          <w:szCs w:val="28"/>
        </w:rPr>
        <w:tab/>
        <w:t>ПРИ ВЫЯВЛЕНИИ У БОЛЬНОГО ГЕНОТИПА, СООТВЕТСТВУЮЩЕГО «ЭКСТЕНСИВНОМУ» МЕТАБОЛИЗАТОРУ, СЛЕДУЕТ ВЫБРАТЬ: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среднетерапевтическую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дозу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минимальную дозу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максимальную дозу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не назначать данное лекарственное средство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044</w:t>
      </w:r>
      <w:r w:rsidRPr="00C62EFC">
        <w:rPr>
          <w:rFonts w:ascii="Times New Roman" w:hAnsi="Times New Roman" w:cs="Times New Roman"/>
          <w:sz w:val="28"/>
          <w:szCs w:val="28"/>
        </w:rPr>
        <w:tab/>
        <w:t>ПРИ ВЫЯВЛЕНИИ У БОЛЬНОГО ГЕНОТИПА, СООТВЕТСТВУЮЩЕГО «БЫСТРОМУ» МЕТАБОЛИЗАТОРУ, СЛЕДУЕТ ВЫБРАТЬ: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максимальную дозу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минимальную дозу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среднетерапевтическую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дозу лекарственного средства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не назначать данное лекарственное средство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045</w:t>
      </w:r>
      <w:r w:rsidRPr="00C62EFC">
        <w:rPr>
          <w:rFonts w:ascii="Times New Roman" w:hAnsi="Times New Roman" w:cs="Times New Roman"/>
          <w:sz w:val="28"/>
          <w:szCs w:val="28"/>
        </w:rPr>
        <w:tab/>
        <w:t>ЦИРРОЗ ПЕЧЕНИ НЕ ИЗМЕНЯЕТ ФАРМАКОКИНЕТИКУ ЛЕКАРСТВ ЗА СЧЕТ: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уменьшения объема распределения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уменьшения связывания с белками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увеличения периода полувыведения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увеличения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биодоступности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046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ПРИ ПЕРВИЧНОМ БИЛИАРНОМ ЦИРРОЗЕ ПРЕПАРАТЫ УДХК НАЗНАЧАЮТСЯ: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непрерывно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курсами по 3 месяца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не назначаются 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в зависимости от уровня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аминотрансфераз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047</w:t>
      </w:r>
      <w:r w:rsidRPr="00C62EFC">
        <w:rPr>
          <w:rFonts w:ascii="Times New Roman" w:hAnsi="Times New Roman" w:cs="Times New Roman"/>
          <w:sz w:val="28"/>
          <w:szCs w:val="28"/>
        </w:rPr>
        <w:tab/>
        <w:t>ЧТО ЯВЛЯЕТСЯ ПОКАЗАНИЕМ К НАЗНАЧЕНИЮ ИНТЕРФЕРОНА ПРИ ХРОНИЧЕСКОМ ДИФФУЗНОМ ПОРАЖЕНИИ ПЕЧЕНИ ВИРУСНОЙ В ЭТИОЛОГИИ?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положительные значения полимеразной цепной реакции на наличие генетического материала вируса (РНК/ДНК)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наличие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Hb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cor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антител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плохое самочувствие больного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увеличение уровня билирубина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048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КАКОМУ ИЗ ПЕРЕЧИСЛЕННЫХ КЛАССОВ ФАРМАКОЛОГИЧЕСКИХ ПРЕПАРАТОВ ОТНОСИТСЯ РИБАВИРИН?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нуклеозидные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аналоги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индуктор интерферона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противоопухолевый препарат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препарат интерферона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049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ПРЕПАРАТАМ, СНИЖАЮЩИМ РЕФЛЮКС, ОТНОСЯТ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итамеда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гидрохлорид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метацин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папаверин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мебеверин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050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КОМПЛЕКСНУЮ ТЕРАПИЮ ХРОНИЧЕСКОГО ПАНКРЕАТИТА, СОПРОВОЖДАЮЩЕГОСЯ ГИПЕРАМИЛАЗЕМИЕЙ, ЦЕЛЕСООБРАЗНО ВКЛЮЧАТЬ: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трасилол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гордокс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контрикал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>)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соматостатин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блокаторы Н2-рецепторов гистамина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антацид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051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КАКОЙ ПЕРПАРАТ ОТНОСИТСЯ К  ПАТОГЕНЕТИЧЕСКОЙ ТЕРАПИИ У БОЛЬНЫХ С ЯЗВЕННЫМ КОЛИТОМ?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аминогликозиды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месалазин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цефалоспорины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микроклизмы с травами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052</w:t>
      </w:r>
      <w:r w:rsidRPr="00C62EFC">
        <w:rPr>
          <w:rFonts w:ascii="Times New Roman" w:hAnsi="Times New Roman" w:cs="Times New Roman"/>
          <w:sz w:val="28"/>
          <w:szCs w:val="28"/>
        </w:rPr>
        <w:tab/>
        <w:t>МЕСТНОЕ ЛЕЧЕНИЕ СВЕЧАМИ ЯЗВЕННОГО КОЛИТА ПОКАЗАНО ПРИ ЛЕГКОМ ТЕЧЕНИИ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левостороннего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проктита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тотального колита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проктосигмоидит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053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КАКОЙ ПРЕПАРАТ ПРИВОДЯТ К ИНДУКЦИИ ФЕРМЕНТОВ В ПЕЧЕНИ: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линкомицин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фенобарбитал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амиодарон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эритромицин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054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КАКОЙ ИЗ ПРЕПАРАТОВ БЛОКИРУЕТ “ПРОТОНОВУЮ ПОМПУ”: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альмагель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омепразол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фамотидин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атропин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055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КАКОЙ ИЗ ПЕРЕЧИСЛЕННЫХ ПРЕПАРАТОВ МАКСИМАЛЬНО УГНЕТАЕТ СЕКРЕЦИЮ СОЛЯНОЙ КИСЛОТЫ: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ранитидин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эзомепразол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фамотидин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атропин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056</w:t>
      </w:r>
      <w:r w:rsidRPr="00C62EFC">
        <w:rPr>
          <w:rFonts w:ascii="Times New Roman" w:hAnsi="Times New Roman" w:cs="Times New Roman"/>
          <w:sz w:val="28"/>
          <w:szCs w:val="28"/>
        </w:rPr>
        <w:tab/>
        <w:t>К ПРЕПАРАТАМ, ОБРАЗУЮЩИМ  ЗАЩИТНУЮ ПЛЁНКУ НА СЛИЗИСТОЙ ОБОЛОЧКЕ ЖЕЛУДКА И КИШЕЧНИКА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ОТНОСЯТ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висмута 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коллоидный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субцитрат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фамотидин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омепразол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пантопразол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057</w:t>
      </w:r>
      <w:r w:rsidRPr="00C62EFC">
        <w:rPr>
          <w:rFonts w:ascii="Times New Roman" w:hAnsi="Times New Roman" w:cs="Times New Roman"/>
          <w:sz w:val="28"/>
          <w:szCs w:val="28"/>
        </w:rPr>
        <w:tab/>
        <w:t>ТРЁХКОМПОНЕНТНАЯ СХЕМА ДЛЯ ЭРАДИКАЦИИ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H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. PYLORI ВКЛЮЧАЕТ: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Ингибитор протонной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помпы+амоксициллин+кларитромицин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фамотидин+омепразол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+ амоксициллин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фамотидин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+ амоксициллин+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кларитромицин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омепразол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де-нол+фамотидин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058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ЛЕКАРСТВОМ, БЛОКИРУЮЩИМ  ГИСТАМИНОВЫЕ Н2-РЕЦЕПТОРЫ, ЯВЛЯЕТСЯ:  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фамотидин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сукральфат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омепразол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альмагель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059</w:t>
      </w:r>
      <w:r w:rsidRPr="00C62EFC">
        <w:rPr>
          <w:rFonts w:ascii="Times New Roman" w:hAnsi="Times New Roman" w:cs="Times New Roman"/>
          <w:sz w:val="28"/>
          <w:szCs w:val="28"/>
        </w:rPr>
        <w:tab/>
        <w:t>ПРИ ОБОСТРЕНИИ ХРОНИЧЕСКОГО ПАНКРЕАТИТА ДЛЯ КУПИРОВАНИЯ БОЛЕВОГО СИНДРОМА МОЖНО ИСПОЛЬЗОВАТЬ: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мебеверин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альмагель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гевискон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месалазин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060</w:t>
      </w:r>
      <w:r w:rsidRPr="00C62EFC">
        <w:rPr>
          <w:rFonts w:ascii="Times New Roman" w:hAnsi="Times New Roman" w:cs="Times New Roman"/>
          <w:sz w:val="28"/>
          <w:szCs w:val="28"/>
        </w:rPr>
        <w:tab/>
        <w:t>ЛЕЧЕНИЕ ПЕЧЕНОЧНОЙ ЭНЦЕФАЛОПАТИИ ВКЛЮЧАЕТ</w:t>
      </w:r>
    </w:p>
    <w:p w:rsidR="007F23DD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наркотические анальгетики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адеметионин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>, УДХК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лактулозу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>, Л-орнитин-Л-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аспартат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мочегонные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061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МЕХАНИЗМ ДЕЙСТВИЯ ПРЕПАРАТА СУБКОЛЛОИДНОГО ВИСМУТА ТРИНИТРАТА ЗАКЛЮЧАЕТСЯ 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>:</w:t>
      </w:r>
      <w:r w:rsidRPr="00C62EFC">
        <w:rPr>
          <w:rFonts w:ascii="Times New Roman" w:hAnsi="Times New Roman" w:cs="Times New Roman"/>
          <w:sz w:val="28"/>
          <w:szCs w:val="28"/>
        </w:rPr>
        <w:tab/>
        <w:t>.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 xml:space="preserve">уменьшение выработки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глюкокортикостероидов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прижигающее действие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 xml:space="preserve">бактерицидном действии на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Heli</w:t>
      </w:r>
      <w:proofErr w:type="gramStart"/>
      <w:r w:rsidR="007F23DD" w:rsidRPr="00C62EF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F23DD" w:rsidRPr="00C62EFC">
        <w:rPr>
          <w:rFonts w:ascii="Times New Roman" w:hAnsi="Times New Roman" w:cs="Times New Roman"/>
          <w:sz w:val="28"/>
          <w:szCs w:val="28"/>
        </w:rPr>
        <w:t>obacter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pylory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>, локальное противовоспалительное действие</w:t>
      </w:r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стимуляция местного иммунитета желез      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062</w:t>
      </w:r>
      <w:r w:rsidRPr="00C62EFC">
        <w:rPr>
          <w:rFonts w:ascii="Times New Roman" w:hAnsi="Times New Roman" w:cs="Times New Roman"/>
          <w:sz w:val="28"/>
          <w:szCs w:val="28"/>
        </w:rPr>
        <w:tab/>
        <w:t>ПОКАЗАНИЯМИ К НАЗНАЧЕНИЮ МИНИМИКРОСФЕР ПАНКРЕАТИНА ЯВЛЯЮТСЯ: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хронический лекарственный гепатит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ротавирусная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инфекция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хронический панкреатит с проявлениями внешнесекреторной недостаточности поджелудочной железы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язвенная болезнь в фазе обострения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063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ЛЕКАРСТВЕННЫМ РАСТЕНИЯМ, СПОСОБСТВУЮЩИМ НОРМАЛИЗАЦИИ ДЕЯТЕЛЬНОСТИ КИШЕЧНИКА ПРИ ПОНОСАХ, ОТНОСЯТСЯ:</w:t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цветы пижмы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бессмертник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плоды черемухи, кора дуба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семена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расторопши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064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ХЕНОДЕЗОКСИХОЛЕВУЮ КИСЛОТУ ПРИМЕНЯЮТ С ЦЕЛЬЮ: 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 xml:space="preserve">снижения уровня холестерина в сыворотке крови  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лечение мочекаменной болезни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F23DD" w:rsidRPr="00C62EFC">
        <w:rPr>
          <w:rFonts w:ascii="Times New Roman" w:hAnsi="Times New Roman" w:cs="Times New Roman"/>
          <w:sz w:val="28"/>
          <w:szCs w:val="28"/>
        </w:rPr>
        <w:t>растворения холестериновых конкрементов в желчном пузыре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улучшения утилизации жиров в кишечнике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065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КОНСЕРВАТИВНАЯ ЛИТОЛИТИЧЕСКАЯ ТЕРАПИЯ ПРИ ХОЛЕСТЕРИНОВЫХ КАМНЯХ В ЖЕЛЧНОМ ПУЗЫРЕ ПРЕДУСМАТРИВАЕТ НАЗАНЧЕНИЕ: 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урсодезоксихолевой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кислоты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на 6 </w:t>
      </w:r>
      <w:proofErr w:type="spellStart"/>
      <w:proofErr w:type="gramStart"/>
      <w:r w:rsidRPr="00C62EFC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и более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урсодезоксихолевой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кислоты на 3мес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аллохола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желчегонных трав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066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ПРОБИОТИКАМ ОТНОСЯТ: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бифиформ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рифаксимин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интетрикс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лактулозу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067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ЖЕЛЧЕГОННЫМ ТРАВАМ ОТНОСЯТ: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пижму, бессмертник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крапиву, подорожник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мать и мачеху, девясил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кровохлебку, зверобой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068</w:t>
      </w:r>
      <w:r w:rsidRPr="00C62EFC">
        <w:rPr>
          <w:rFonts w:ascii="Times New Roman" w:hAnsi="Times New Roman" w:cs="Times New Roman"/>
          <w:sz w:val="28"/>
          <w:szCs w:val="28"/>
        </w:rPr>
        <w:tab/>
        <w:t>СРЕДСТВО, УСИЛИВАЮЩЕЕ ЭВАКУАЦИЮ ИЗ ЖЕЛУДКА: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метоклопрамид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платифиллин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>.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бутилскополамин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метацин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069</w:t>
      </w:r>
      <w:r w:rsidRPr="00C62EFC">
        <w:rPr>
          <w:rFonts w:ascii="Times New Roman" w:hAnsi="Times New Roman" w:cs="Times New Roman"/>
          <w:sz w:val="28"/>
          <w:szCs w:val="28"/>
        </w:rPr>
        <w:tab/>
        <w:t>УКАЖИТЕ АНТИСЕКРЕТОРНОЕ СРЕДСТВО, ОКАЗЫВАЮЩЕЕ АНТИАНДРОГЕННУЮ АКТИВНОСТЬ И ИНГИБИРУЮЩЕЕ МИКРОСОМАЛЬНОЕ ОКИСЛЕНИЕ: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циметидин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пирензепин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фамотидин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омепразол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070</w:t>
      </w:r>
      <w:r w:rsidRPr="00C62EFC">
        <w:rPr>
          <w:rFonts w:ascii="Times New Roman" w:hAnsi="Times New Roman" w:cs="Times New Roman"/>
          <w:sz w:val="28"/>
          <w:szCs w:val="28"/>
        </w:rPr>
        <w:tab/>
        <w:t>УКАЖИТЕ СРЕДСТВО, ПОВЫШАЮЩЕЕ ОБРАЗОВАНИЕ СЛИЗИ В ЖЕЛУДКЕ: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ребамипид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антациды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ацетилсалициловая кислота.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спазмолитики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071</w:t>
      </w:r>
      <w:r w:rsidRPr="00C62EFC">
        <w:rPr>
          <w:rFonts w:ascii="Times New Roman" w:hAnsi="Times New Roman" w:cs="Times New Roman"/>
          <w:sz w:val="28"/>
          <w:szCs w:val="28"/>
        </w:rPr>
        <w:tab/>
        <w:t>УГНЕТАЕТ ВЫРАБОТКУ СОКА ПОДЖЕЛУДОЧНОЙ ЖЕЛЕЗЫ: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соматостатин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панкреатин.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фестал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мебеверин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072</w:t>
      </w:r>
      <w:r w:rsidRPr="00C62EFC">
        <w:rPr>
          <w:rFonts w:ascii="Times New Roman" w:hAnsi="Times New Roman" w:cs="Times New Roman"/>
          <w:sz w:val="28"/>
          <w:szCs w:val="28"/>
        </w:rPr>
        <w:tab/>
        <w:t>КО ВТОРОЙ ЛИНИИ ТЕРАПИИ ПРИ ЯЗВЕННОМ КОЛИТЕ ОТНОСИТСЯ: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инфликсимаб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кортикостероиды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месалазин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сульфасалазин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073</w:t>
      </w:r>
      <w:r w:rsidRPr="00C62EFC">
        <w:rPr>
          <w:rFonts w:ascii="Times New Roman" w:hAnsi="Times New Roman" w:cs="Times New Roman"/>
          <w:sz w:val="28"/>
          <w:szCs w:val="28"/>
        </w:rPr>
        <w:tab/>
        <w:t>КО ВТОРОЙ ЛИНИИ ТЕРАПИИ ПРИ ЯЗВЕННОМ КОЛИТЕ ОТНОСИТСЯ: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циклоспорин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кортикостероиды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месалазин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сульфасалазин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074</w:t>
      </w:r>
      <w:r w:rsidRPr="00C62EFC">
        <w:rPr>
          <w:rFonts w:ascii="Times New Roman" w:hAnsi="Times New Roman" w:cs="Times New Roman"/>
          <w:sz w:val="28"/>
          <w:szCs w:val="28"/>
        </w:rPr>
        <w:tab/>
        <w:t>ПО МЕХАНИЗМУ ДЕЙСТВИЯ БУТИЛСКОПОЛАМИН ЭТО: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Мхолинолитик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антагонист опиоидных рецепторов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М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холиномиметик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адреноблокатор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075</w:t>
      </w:r>
      <w:r w:rsidRPr="00C62EFC">
        <w:rPr>
          <w:rFonts w:ascii="Times New Roman" w:hAnsi="Times New Roman" w:cs="Times New Roman"/>
          <w:sz w:val="28"/>
          <w:szCs w:val="28"/>
        </w:rPr>
        <w:tab/>
        <w:t>ПО МЕХАНИЗМУ ДЕЙСТВИЯ ТРИМЕБУТИН ЭТО: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агонист опиоидных рецепторов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Мхолинолитик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М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холиномиметик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адреноблокатор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076</w:t>
      </w:r>
      <w:r w:rsidRPr="00C62EFC">
        <w:rPr>
          <w:rFonts w:ascii="Times New Roman" w:hAnsi="Times New Roman" w:cs="Times New Roman"/>
          <w:sz w:val="28"/>
          <w:szCs w:val="28"/>
        </w:rPr>
        <w:tab/>
        <w:t>ПО МЕХАНИЗМУ ДЕЙСТВИЯ ДРОТАВЕРИН ЭТО: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F23DD" w:rsidRPr="00C62EFC"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холинолитик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F23DD" w:rsidRPr="00C62EFC">
        <w:rPr>
          <w:rFonts w:ascii="Times New Roman" w:hAnsi="Times New Roman" w:cs="Times New Roman"/>
          <w:sz w:val="28"/>
          <w:szCs w:val="28"/>
        </w:rPr>
        <w:t xml:space="preserve">блокатор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аденилатциклазы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М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холиномиметик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адреноблокатор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077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МЕБЕВЕРИН ПО МЕХАНИЗМУ ДЕЙСТВИЯ 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>ТО СПАЗМОЛИТИК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холинолитик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за счет блокады натриевых каналов</w:t>
      </w:r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блокатор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аденилатциклазы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холиномиметик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078</w:t>
      </w:r>
      <w:r w:rsidRPr="00C62EFC">
        <w:rPr>
          <w:rFonts w:ascii="Times New Roman" w:hAnsi="Times New Roman" w:cs="Times New Roman"/>
          <w:sz w:val="28"/>
          <w:szCs w:val="28"/>
        </w:rPr>
        <w:tab/>
        <w:t>МЕСАЛАЗИН ОБЛАДАЕТ СВОЙСТВАМИ: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3DD" w:rsidRPr="00C62EFC">
        <w:rPr>
          <w:rFonts w:ascii="Times New Roman" w:hAnsi="Times New Roman" w:cs="Times New Roman"/>
          <w:sz w:val="28"/>
          <w:szCs w:val="28"/>
        </w:rPr>
        <w:t>угнетающими</w:t>
      </w:r>
      <w:proofErr w:type="gram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 желудочную секрецию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противовоспалительными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гормонзаместительными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спазмолитическими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079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ТОПИЧЕСКИЙ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ГЛЮКОКОРТИКОСТЕРОИД ДЛЯ ЛЕЧЕНИЯ АУТОИММУННОГО ГЕПАТИТА ЭТО: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преднизолон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будесонид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дексаметазон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гидрокортизон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080</w:t>
      </w:r>
      <w:r w:rsidRPr="00C62EFC">
        <w:rPr>
          <w:rFonts w:ascii="Times New Roman" w:hAnsi="Times New Roman" w:cs="Times New Roman"/>
          <w:sz w:val="28"/>
          <w:szCs w:val="28"/>
        </w:rPr>
        <w:tab/>
        <w:t>ДЛЯ ЛЕЧЕНИЯ ПЕРВИЧНОГО СКЛЕРОЗИРУЮЩЕГО ХОЛАНГИТА НАЗНАЧАЮТСЯ ПРЕПАРАТЫ: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спазмолитики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УДХК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антибиотики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ингибиторы протонной помпы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081</w:t>
      </w:r>
      <w:r w:rsidRPr="00C62EFC">
        <w:rPr>
          <w:rFonts w:ascii="Times New Roman" w:hAnsi="Times New Roman" w:cs="Times New Roman"/>
          <w:sz w:val="28"/>
          <w:szCs w:val="28"/>
        </w:rPr>
        <w:tab/>
        <w:t>ПРИ ЛЕЧЕНИИ ЯЗВЕННОГО КОЛИТА ГЛЮКОКОРТИКОСТЕРОИДАМИ ОБЩАЯ ПРОДОЛЖИТЕЛЬНОСТЬ ИХ ПРИЕМА НЕ ДОЛЖНА ПРЕВЫШАТЬ: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12 недель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1года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2 лет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10 дней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082</w:t>
      </w:r>
      <w:r w:rsidRPr="00C62EFC">
        <w:rPr>
          <w:rFonts w:ascii="Times New Roman" w:hAnsi="Times New Roman" w:cs="Times New Roman"/>
          <w:sz w:val="28"/>
          <w:szCs w:val="28"/>
        </w:rPr>
        <w:tab/>
        <w:t>ПРИ НАЗНАЧЕНИИ ГЛЮКОКОРТИКОСТЕРОИДОВ ПРИ ЯЗВЕННОМ КОЛИТЕ, КАК ПРАВИЛО, В КАЧЕСТВЕ ИММУНОСУПРЕССАНТА НАЗНАЧАЕТСЯ: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азатиоприн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циклофосфан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препараты интерферонов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ритуксимаб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083</w:t>
      </w:r>
      <w:r w:rsidRPr="00C62EFC">
        <w:rPr>
          <w:rFonts w:ascii="Times New Roman" w:hAnsi="Times New Roman" w:cs="Times New Roman"/>
          <w:sz w:val="28"/>
          <w:szCs w:val="28"/>
        </w:rPr>
        <w:tab/>
        <w:t>РЕКОМЕНДОВАННАЯ ДЛИТЕЛЬНОСТЬ НАЗНАЧЕНИЯ ИПП ПРИ ЭРОЗИВНОЙ ФОРМЕ ГЭРБ: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8 недель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6 недель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2 недели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4 недели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084</w:t>
      </w:r>
      <w:r w:rsidRPr="00C62EFC">
        <w:rPr>
          <w:rFonts w:ascii="Times New Roman" w:hAnsi="Times New Roman" w:cs="Times New Roman"/>
          <w:sz w:val="28"/>
          <w:szCs w:val="28"/>
        </w:rPr>
        <w:tab/>
        <w:t>РЕКОМЕНДОВАННАЯ ДЛИТЕЛЬНОСТЬ НАЗНАЧЕНИЯ ИПП ПРИ НЕЭРОЗИВНОЙ ФОРМЕ ГЭРБ: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4 недели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6 недель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2 недели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8 недель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085</w:t>
      </w:r>
      <w:r w:rsidRPr="00C62EFC">
        <w:rPr>
          <w:rFonts w:ascii="Times New Roman" w:hAnsi="Times New Roman" w:cs="Times New Roman"/>
          <w:sz w:val="28"/>
          <w:szCs w:val="28"/>
        </w:rPr>
        <w:tab/>
        <w:t>РЕКОМЕНДОВАННАЯ ДЛИТЕЛЬНОСТЬ НАЗНАЧЕНИЯ ПОДДЕРЖИВАЮЩЕЙ ТЕРАПИИ ИПП ПРИ ГЭРБ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до 6 </w:t>
      </w:r>
      <w:proofErr w:type="spellStart"/>
      <w:proofErr w:type="gramStart"/>
      <w:r w:rsidRPr="00C62EFC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1 неделя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2 недели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8 недель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086 </w:t>
      </w:r>
      <w:r w:rsidRPr="00C62EFC">
        <w:rPr>
          <w:rFonts w:ascii="Times New Roman" w:hAnsi="Times New Roman" w:cs="Times New Roman"/>
          <w:sz w:val="28"/>
          <w:szCs w:val="28"/>
        </w:rPr>
        <w:t>САМЫМ БЕЗОПАСНЫМ ПРОКИНЕТИКОМ ДЛЯ ЛЕЧЕНИЯ ГЭРБ В НАСТОЯЩЕЕ ВРЕМЯ СЧИТАЕТСЯ: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итамеда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гидрохлорид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домперидон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метоклопрамид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тегасерод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087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РЕКОМЕНДУЕМОЙ РАЗОВОЙ ДОЗОЙ  ДЛЯ ВВЕДЕНИЯ ИНФЛИКСИМАБА ПРИ ЯЗВЕННОМ КОЛИТЕ ЯВЛЯЕТСЯ: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5мг /кг массы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4 мг/кг массы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>10 мг/кг массы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для всех пациентов независимо от массы тела 100мг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088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РЕКОМЕНДУЕМОЙ СХЕМОЙ ВВЕДЕНИЯ ИНФЛИКСИМАБА ПРИ ЯЗВЕННОМ КОЛИТЕ ЯВЛЯЕТСЯ: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0-2-6 недель, затем каждые 8 недель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1 раз в месяц 2 года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каждую неделю в течение 6 </w:t>
      </w:r>
      <w:proofErr w:type="spellStart"/>
      <w:proofErr w:type="gramStart"/>
      <w:r w:rsidRPr="00C62EFC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схема определяется индивидуально в зависимости от активности процесса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089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ПОКАЗАНИЕМ ДЛЯ НАЗНАЧЕНИЯ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ЭРИТРОПОЭТИНа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 ЯВЛЯЕТСЯ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>хроническая болезнь почек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язвенный колит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гемолитическая анемия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кровотечение при язвенной болезни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090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ПРИ ЖЕЛЕЗОДЕФИЦИТНОЙ АНЕМИИ ПРЕПАРАТЫ ЖЕЛЕЗА ПЕРОРАЛЬНО НАЗНАЧАЮТСЯ 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>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до нормализации гемоглобина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2 недели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3 месяца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до восстановления уровня гемоглобина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091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ПРЕПАРАТ ВЫБОРА ДЛЯ ЛЕЧЕНИЯ НОЧНОЙ ПАРОКСИЗМАЛЬНОЙ ГЕМОГЛОБИНУРИИ: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F23DD" w:rsidRPr="00C62EFC">
        <w:rPr>
          <w:rFonts w:ascii="Times New Roman" w:hAnsi="Times New Roman" w:cs="Times New Roman"/>
          <w:sz w:val="28"/>
          <w:szCs w:val="28"/>
        </w:rPr>
        <w:t>препараты железа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кортикостероиды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экулизумаб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вит В12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092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ДЛЯ ЛЕЧЕНИЯ АПЛАСТИЧЕСКОЙ АНЕМИИ ИСПОЛЬЗУЮТ: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F23DD" w:rsidRPr="00C62EFC">
        <w:rPr>
          <w:rFonts w:ascii="Times New Roman" w:hAnsi="Times New Roman" w:cs="Times New Roman"/>
          <w:sz w:val="28"/>
          <w:szCs w:val="28"/>
        </w:rPr>
        <w:t>поливитамины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препараты железа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Циклоспорин</w:t>
      </w:r>
      <w:proofErr w:type="spellEnd"/>
      <w:proofErr w:type="gramStart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глюкокортикостероиды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093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ЛЕЧЕНИИ ИДИОПАТИЧЕСКОГО МИЕЛОФИБРОЗА: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F23DD" w:rsidRPr="00C62EFC">
        <w:rPr>
          <w:rFonts w:ascii="Times New Roman" w:hAnsi="Times New Roman" w:cs="Times New Roman"/>
          <w:sz w:val="28"/>
          <w:szCs w:val="28"/>
        </w:rPr>
        <w:t xml:space="preserve">вводятся препараты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иммуноголобулинов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применяются иммуностимуляторы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 xml:space="preserve">применяются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цитостатики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 в комплексе с преднизолоном</w:t>
      </w:r>
      <w:proofErr w:type="gram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назначаются препараты железа и 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вит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В12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094</w:t>
      </w:r>
      <w:r w:rsidRPr="00C62EFC">
        <w:rPr>
          <w:rFonts w:ascii="Times New Roman" w:hAnsi="Times New Roman" w:cs="Times New Roman"/>
          <w:sz w:val="28"/>
          <w:szCs w:val="28"/>
        </w:rPr>
        <w:tab/>
        <w:t>ДЛЯ ЛОПЕРАМИДА ХАРАКТЕРНО: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содержит споры бактерий штамма IP 5832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слабительное действие наступает через 24-48 ч после приема;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повышение тонуса анального сфинктера</w:t>
      </w:r>
      <w:proofErr w:type="gramStart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адсорбирующее действие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095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ВИТАМИН РР ОКАЗЫВАЕТ: 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>
        <w:rPr>
          <w:rFonts w:ascii="Times New Roman" w:hAnsi="Times New Roman" w:cs="Times New Roman"/>
          <w:sz w:val="28"/>
          <w:szCs w:val="28"/>
        </w:rPr>
        <w:t>с</w:t>
      </w:r>
      <w:r w:rsidR="007F23DD" w:rsidRPr="00C62EFC">
        <w:rPr>
          <w:rFonts w:ascii="Times New Roman" w:hAnsi="Times New Roman" w:cs="Times New Roman"/>
          <w:sz w:val="28"/>
          <w:szCs w:val="28"/>
        </w:rPr>
        <w:t>осудосуживающее действие;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сосудорасширяющее действие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не влияет на тонус сосудов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вызывает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дезагрегацию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тромбоцитов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096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>К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ХОЛЕРЕТИКАМ ОТНОСИТСЯ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минеральная вода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холензим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магния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сульфат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>М-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холинолитики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097</w:t>
      </w:r>
      <w:r w:rsidRPr="00C62EFC">
        <w:rPr>
          <w:rFonts w:ascii="Times New Roman" w:hAnsi="Times New Roman" w:cs="Times New Roman"/>
          <w:sz w:val="28"/>
          <w:szCs w:val="28"/>
        </w:rPr>
        <w:tab/>
        <w:t>ЖЕЛЕЗО СНИЖАЕТ ВСАСЫВАНИЕ АНТИБАКТЕРИАЛЬНЫХ ЛЕКАРСТВЕННЫХ СРЕДСТВ  ИЗ ГРУППЫ: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макролидов</w:t>
      </w:r>
      <w:proofErr w:type="spellEnd"/>
      <w:r w:rsidR="007F23DD" w:rsidRPr="00C62EFC">
        <w:rPr>
          <w:rFonts w:ascii="Times New Roman" w:hAnsi="Times New Roman" w:cs="Times New Roman"/>
          <w:sz w:val="28"/>
          <w:szCs w:val="28"/>
        </w:rPr>
        <w:t>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F23DD" w:rsidRPr="00C62EFC">
        <w:rPr>
          <w:rFonts w:ascii="Times New Roman" w:hAnsi="Times New Roman" w:cs="Times New Roman"/>
          <w:sz w:val="28"/>
          <w:szCs w:val="28"/>
        </w:rPr>
        <w:t>тетрациклинов;.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карбапенемов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>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аминогликозидов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098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  <w:t>КАКИЕ РЕЦЕПТОРЫ НА ПОВЕРХНОСТИ ПАРИЕТАЛЬНЫХ КЛЕТОК ЖЕЛУДКА РЕГУЛИРУЮТ ОБРАЗОВАНИЕ СОЛЯНОЙ КИСЛОТЫ?</w:t>
      </w:r>
    </w:p>
    <w:p w:rsidR="00C62EFC" w:rsidRPr="00C62EFC" w:rsidRDefault="007F23DD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</w:t>
      </w:r>
      <w:r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>пуриновые;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Б</w:t>
      </w:r>
      <w:r w:rsidRPr="00C62EFC">
        <w:rPr>
          <w:rFonts w:ascii="Times New Roman" w:hAnsi="Times New Roman" w:cs="Times New Roman"/>
          <w:sz w:val="28"/>
          <w:szCs w:val="28"/>
        </w:rPr>
        <w:tab/>
        <w:t>Н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гистаминовые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>;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гастриновые</w:t>
      </w:r>
      <w:proofErr w:type="spellEnd"/>
      <w:proofErr w:type="gramStart"/>
      <w:r w:rsidR="007F23DD" w:rsidRPr="00C62EF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адренэргические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099</w:t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ab/>
        <w:t xml:space="preserve"> К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 xml:space="preserve"> НЕПРЯМЫМ АНТИКОАГУЛЯНТАМ ОТНОСИТСЯ: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А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r w:rsidR="007F23DD" w:rsidRPr="00C62EFC">
        <w:rPr>
          <w:rFonts w:ascii="Times New Roman" w:hAnsi="Times New Roman" w:cs="Times New Roman"/>
          <w:sz w:val="28"/>
          <w:szCs w:val="28"/>
        </w:rPr>
        <w:t>аспирин</w:t>
      </w:r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62E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апротинин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В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F23DD" w:rsidRPr="00C62EFC">
        <w:rPr>
          <w:rFonts w:ascii="Times New Roman" w:hAnsi="Times New Roman" w:cs="Times New Roman"/>
          <w:sz w:val="28"/>
          <w:szCs w:val="28"/>
        </w:rPr>
        <w:t>синкумар</w:t>
      </w:r>
      <w:proofErr w:type="spellEnd"/>
    </w:p>
    <w:p w:rsidR="00C62EFC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  <w:t>Г</w:t>
      </w:r>
      <w:r w:rsidRPr="00C62E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2EFC">
        <w:rPr>
          <w:rFonts w:ascii="Times New Roman" w:hAnsi="Times New Roman" w:cs="Times New Roman"/>
          <w:sz w:val="28"/>
          <w:szCs w:val="28"/>
        </w:rPr>
        <w:t>клопидогрель</w:t>
      </w:r>
      <w:proofErr w:type="spellEnd"/>
      <w:r w:rsidRPr="00C62E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DF0" w:rsidRPr="00C62EFC" w:rsidRDefault="00C62EFC" w:rsidP="00C62EFC">
      <w:pPr>
        <w:rPr>
          <w:rFonts w:ascii="Times New Roman" w:hAnsi="Times New Roman" w:cs="Times New Roman"/>
          <w:sz w:val="28"/>
          <w:szCs w:val="28"/>
        </w:rPr>
      </w:pPr>
      <w:r w:rsidRPr="00C62EFC">
        <w:rPr>
          <w:rFonts w:ascii="Times New Roman" w:hAnsi="Times New Roman" w:cs="Times New Roman"/>
          <w:sz w:val="28"/>
          <w:szCs w:val="28"/>
        </w:rPr>
        <w:tab/>
      </w:r>
      <w:r w:rsidRPr="00C62EFC">
        <w:rPr>
          <w:rFonts w:ascii="Times New Roman" w:hAnsi="Times New Roman" w:cs="Times New Roman"/>
          <w:sz w:val="28"/>
          <w:szCs w:val="28"/>
        </w:rPr>
        <w:tab/>
      </w:r>
    </w:p>
    <w:p w:rsidR="00FC4DF0" w:rsidRPr="00C62EFC" w:rsidRDefault="00FC4DF0">
      <w:pPr>
        <w:rPr>
          <w:rFonts w:ascii="Times New Roman" w:hAnsi="Times New Roman" w:cs="Times New Roman"/>
          <w:sz w:val="28"/>
          <w:szCs w:val="28"/>
        </w:rPr>
      </w:pPr>
    </w:p>
    <w:p w:rsidR="00167233" w:rsidRPr="00167233" w:rsidRDefault="00167233" w:rsidP="0016723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100 </w:t>
      </w:r>
      <w:r w:rsidRPr="00167233">
        <w:rPr>
          <w:rFonts w:ascii="Times New Roman" w:eastAsia="Calibri" w:hAnsi="Times New Roman" w:cs="Times New Roman"/>
          <w:sz w:val="28"/>
          <w:szCs w:val="28"/>
        </w:rPr>
        <w:tab/>
        <w:t xml:space="preserve">БИОДОСТУПНОСТЬ ЛЕКАРСТВЕННОГО ПРЕПАРАТА — ЭТО ПРОЦЕНТНОЕ СОДЕРЖАНИЕ АКТИВНОГО ПРЕПАРАТА </w:t>
      </w:r>
      <w:proofErr w:type="gramStart"/>
      <w:r w:rsidRPr="00167233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16723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67233" w:rsidRPr="00167233" w:rsidRDefault="00167233" w:rsidP="00167233">
      <w:pPr>
        <w:rPr>
          <w:rFonts w:ascii="Times New Roman" w:eastAsia="Calibri" w:hAnsi="Times New Roman" w:cs="Times New Roman"/>
          <w:sz w:val="28"/>
          <w:szCs w:val="28"/>
        </w:rPr>
      </w:pPr>
      <w:r w:rsidRPr="00167233">
        <w:rPr>
          <w:rFonts w:ascii="Times New Roman" w:eastAsia="Calibri" w:hAnsi="Times New Roman" w:cs="Times New Roman"/>
          <w:sz w:val="28"/>
          <w:szCs w:val="28"/>
        </w:rPr>
        <w:tab/>
        <w:t>А</w:t>
      </w:r>
      <w:r w:rsidRPr="00167233">
        <w:rPr>
          <w:rFonts w:ascii="Times New Roman" w:eastAsia="Calibri" w:hAnsi="Times New Roman" w:cs="Times New Roman"/>
          <w:sz w:val="28"/>
          <w:szCs w:val="28"/>
        </w:rPr>
        <w:tab/>
      </w:r>
      <w:r w:rsidR="007F23DD" w:rsidRPr="00167233">
        <w:rPr>
          <w:rFonts w:ascii="Times New Roman" w:eastAsia="Calibri" w:hAnsi="Times New Roman" w:cs="Times New Roman"/>
          <w:sz w:val="28"/>
          <w:szCs w:val="28"/>
        </w:rPr>
        <w:t xml:space="preserve">желудочном </w:t>
      </w:r>
      <w:proofErr w:type="gramStart"/>
      <w:r w:rsidR="007F23DD" w:rsidRPr="00167233">
        <w:rPr>
          <w:rFonts w:ascii="Times New Roman" w:eastAsia="Calibri" w:hAnsi="Times New Roman" w:cs="Times New Roman"/>
          <w:sz w:val="28"/>
          <w:szCs w:val="28"/>
        </w:rPr>
        <w:t>соке</w:t>
      </w:r>
      <w:proofErr w:type="gramEnd"/>
    </w:p>
    <w:p w:rsidR="00167233" w:rsidRPr="00167233" w:rsidRDefault="00167233" w:rsidP="00167233">
      <w:pPr>
        <w:rPr>
          <w:rFonts w:ascii="Times New Roman" w:eastAsia="Calibri" w:hAnsi="Times New Roman" w:cs="Times New Roman"/>
          <w:sz w:val="28"/>
          <w:szCs w:val="28"/>
        </w:rPr>
      </w:pPr>
      <w:r w:rsidRPr="00167233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167233">
        <w:rPr>
          <w:rFonts w:ascii="Times New Roman" w:eastAsia="Calibri" w:hAnsi="Times New Roman" w:cs="Times New Roman"/>
          <w:sz w:val="28"/>
          <w:szCs w:val="28"/>
        </w:rPr>
        <w:t>Б</w:t>
      </w:r>
      <w:proofErr w:type="gramEnd"/>
      <w:r w:rsidRPr="00167233">
        <w:rPr>
          <w:rFonts w:ascii="Times New Roman" w:eastAsia="Calibri" w:hAnsi="Times New Roman" w:cs="Times New Roman"/>
          <w:sz w:val="28"/>
          <w:szCs w:val="28"/>
        </w:rPr>
        <w:tab/>
        <w:t>моче</w:t>
      </w:r>
      <w:r w:rsidR="007F23DD" w:rsidRPr="007F23D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67233" w:rsidRPr="00167233" w:rsidRDefault="00167233" w:rsidP="00167233">
      <w:pPr>
        <w:rPr>
          <w:rFonts w:ascii="Times New Roman" w:eastAsia="Calibri" w:hAnsi="Times New Roman" w:cs="Times New Roman"/>
          <w:sz w:val="28"/>
          <w:szCs w:val="28"/>
        </w:rPr>
      </w:pPr>
      <w:r w:rsidRPr="00167233">
        <w:rPr>
          <w:rFonts w:ascii="Times New Roman" w:eastAsia="Calibri" w:hAnsi="Times New Roman" w:cs="Times New Roman"/>
          <w:sz w:val="28"/>
          <w:szCs w:val="28"/>
        </w:rPr>
        <w:tab/>
        <w:t>В</w:t>
      </w:r>
      <w:r w:rsidRPr="00167233">
        <w:rPr>
          <w:rFonts w:ascii="Times New Roman" w:eastAsia="Calibri" w:hAnsi="Times New Roman" w:cs="Times New Roman"/>
          <w:sz w:val="28"/>
          <w:szCs w:val="28"/>
        </w:rPr>
        <w:tab/>
      </w:r>
      <w:r w:rsidR="007F23DD" w:rsidRPr="00167233">
        <w:rPr>
          <w:rFonts w:ascii="Times New Roman" w:eastAsia="Calibri" w:hAnsi="Times New Roman" w:cs="Times New Roman"/>
          <w:sz w:val="28"/>
          <w:szCs w:val="28"/>
        </w:rPr>
        <w:t>системном кровотоке</w:t>
      </w:r>
      <w:bookmarkStart w:id="0" w:name="_GoBack"/>
      <w:bookmarkEnd w:id="0"/>
    </w:p>
    <w:p w:rsidR="00167233" w:rsidRPr="00167233" w:rsidRDefault="00167233" w:rsidP="00167233">
      <w:pPr>
        <w:rPr>
          <w:rFonts w:ascii="Times New Roman" w:eastAsia="Calibri" w:hAnsi="Times New Roman" w:cs="Times New Roman"/>
          <w:sz w:val="28"/>
          <w:szCs w:val="28"/>
        </w:rPr>
      </w:pPr>
      <w:r w:rsidRPr="00167233">
        <w:rPr>
          <w:rFonts w:ascii="Times New Roman" w:eastAsia="Calibri" w:hAnsi="Times New Roman" w:cs="Times New Roman"/>
          <w:sz w:val="28"/>
          <w:szCs w:val="28"/>
        </w:rPr>
        <w:tab/>
        <w:t>Г</w:t>
      </w:r>
      <w:r w:rsidRPr="00167233">
        <w:rPr>
          <w:rFonts w:ascii="Times New Roman" w:eastAsia="Calibri" w:hAnsi="Times New Roman" w:cs="Times New Roman"/>
          <w:sz w:val="28"/>
          <w:szCs w:val="28"/>
        </w:rPr>
        <w:tab/>
        <w:t>панкреатическом соке</w:t>
      </w:r>
    </w:p>
    <w:p w:rsidR="00FC4DF0" w:rsidRPr="00C62EFC" w:rsidRDefault="00FC4DF0">
      <w:pPr>
        <w:rPr>
          <w:rFonts w:ascii="Times New Roman" w:hAnsi="Times New Roman" w:cs="Times New Roman"/>
          <w:sz w:val="28"/>
          <w:szCs w:val="28"/>
        </w:rPr>
      </w:pPr>
    </w:p>
    <w:p w:rsidR="00C62EFC" w:rsidRPr="00C62EFC" w:rsidRDefault="00C62EFC" w:rsidP="00C62EFC">
      <w:pPr>
        <w:tabs>
          <w:tab w:val="center" w:pos="4677"/>
          <w:tab w:val="right" w:pos="9972"/>
        </w:tabs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2EFC" w:rsidRPr="00FC4DF0" w:rsidRDefault="00C62EFC" w:rsidP="00C62EFC">
      <w:pPr>
        <w:tabs>
          <w:tab w:val="center" w:pos="4677"/>
          <w:tab w:val="right" w:pos="9972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EFC" w:rsidRPr="00FC4DF0" w:rsidRDefault="00C62EFC" w:rsidP="00C62EFC">
      <w:pPr>
        <w:tabs>
          <w:tab w:val="center" w:pos="4677"/>
          <w:tab w:val="right" w:pos="9972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4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Председатель УМС по ординатуре                                                             </w:t>
      </w:r>
      <w:proofErr w:type="spellStart"/>
      <w:r w:rsidRPr="00FC4DF0">
        <w:rPr>
          <w:rFonts w:ascii="Times New Roman" w:eastAsia="Times New Roman" w:hAnsi="Times New Roman" w:cs="Times New Roman"/>
          <w:sz w:val="24"/>
          <w:szCs w:val="24"/>
          <w:lang w:eastAsia="ru-RU"/>
        </w:rPr>
        <w:t>Р.Н.Зигитбаев</w:t>
      </w:r>
      <w:proofErr w:type="spellEnd"/>
    </w:p>
    <w:p w:rsidR="00FC4DF0" w:rsidRDefault="00FC4DF0"/>
    <w:sectPr w:rsidR="00FC4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C Cyri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64E5"/>
    <w:multiLevelType w:val="hybridMultilevel"/>
    <w:tmpl w:val="67BE6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46A70"/>
    <w:multiLevelType w:val="hybridMultilevel"/>
    <w:tmpl w:val="67BE6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416B7"/>
    <w:multiLevelType w:val="hybridMultilevel"/>
    <w:tmpl w:val="CC9CF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17107"/>
    <w:multiLevelType w:val="hybridMultilevel"/>
    <w:tmpl w:val="3B626ECC"/>
    <w:lvl w:ilvl="0" w:tplc="5BF420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B1251C"/>
    <w:multiLevelType w:val="hybridMultilevel"/>
    <w:tmpl w:val="67BE6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F36C5"/>
    <w:multiLevelType w:val="hybridMultilevel"/>
    <w:tmpl w:val="BF3AABF2"/>
    <w:lvl w:ilvl="0" w:tplc="3FC276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C058CC"/>
    <w:multiLevelType w:val="hybridMultilevel"/>
    <w:tmpl w:val="BFC0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A5DDB"/>
    <w:multiLevelType w:val="hybridMultilevel"/>
    <w:tmpl w:val="48984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0055A1"/>
    <w:multiLevelType w:val="hybridMultilevel"/>
    <w:tmpl w:val="EF08A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587756"/>
    <w:multiLevelType w:val="hybridMultilevel"/>
    <w:tmpl w:val="BFC0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592605"/>
    <w:multiLevelType w:val="hybridMultilevel"/>
    <w:tmpl w:val="E6C6D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B5EF0"/>
    <w:multiLevelType w:val="hybridMultilevel"/>
    <w:tmpl w:val="E6C6D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8B7A0F"/>
    <w:multiLevelType w:val="hybridMultilevel"/>
    <w:tmpl w:val="E6C6D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5B2E99"/>
    <w:multiLevelType w:val="hybridMultilevel"/>
    <w:tmpl w:val="BF3AABF2"/>
    <w:lvl w:ilvl="0" w:tplc="3FC276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719259F"/>
    <w:multiLevelType w:val="hybridMultilevel"/>
    <w:tmpl w:val="67BE6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A766BA"/>
    <w:multiLevelType w:val="hybridMultilevel"/>
    <w:tmpl w:val="3B626ECC"/>
    <w:lvl w:ilvl="0" w:tplc="5BF420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7B32618"/>
    <w:multiLevelType w:val="hybridMultilevel"/>
    <w:tmpl w:val="3B626ECC"/>
    <w:lvl w:ilvl="0" w:tplc="5BF420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144EBA"/>
    <w:multiLevelType w:val="hybridMultilevel"/>
    <w:tmpl w:val="67BE6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0A37B5"/>
    <w:multiLevelType w:val="hybridMultilevel"/>
    <w:tmpl w:val="BF3AABF2"/>
    <w:lvl w:ilvl="0" w:tplc="3FC276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FA519D3"/>
    <w:multiLevelType w:val="hybridMultilevel"/>
    <w:tmpl w:val="BFC0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86C0C"/>
    <w:multiLevelType w:val="hybridMultilevel"/>
    <w:tmpl w:val="3B626ECC"/>
    <w:lvl w:ilvl="0" w:tplc="5BF420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C76BC9"/>
    <w:multiLevelType w:val="hybridMultilevel"/>
    <w:tmpl w:val="BF3AABF2"/>
    <w:lvl w:ilvl="0" w:tplc="3FC276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F501DF6"/>
    <w:multiLevelType w:val="hybridMultilevel"/>
    <w:tmpl w:val="BF3AABF2"/>
    <w:lvl w:ilvl="0" w:tplc="3FC276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255645"/>
    <w:multiLevelType w:val="hybridMultilevel"/>
    <w:tmpl w:val="BFC0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F30A89"/>
    <w:multiLevelType w:val="hybridMultilevel"/>
    <w:tmpl w:val="3B626ECC"/>
    <w:lvl w:ilvl="0" w:tplc="5BF420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9"/>
  </w:num>
  <w:num w:numId="5">
    <w:abstractNumId w:val="23"/>
  </w:num>
  <w:num w:numId="6">
    <w:abstractNumId w:val="17"/>
  </w:num>
  <w:num w:numId="7">
    <w:abstractNumId w:val="1"/>
  </w:num>
  <w:num w:numId="8">
    <w:abstractNumId w:val="4"/>
  </w:num>
  <w:num w:numId="9">
    <w:abstractNumId w:val="14"/>
  </w:num>
  <w:num w:numId="10">
    <w:abstractNumId w:val="0"/>
  </w:num>
  <w:num w:numId="11">
    <w:abstractNumId w:val="15"/>
  </w:num>
  <w:num w:numId="12">
    <w:abstractNumId w:val="20"/>
  </w:num>
  <w:num w:numId="13">
    <w:abstractNumId w:val="16"/>
  </w:num>
  <w:num w:numId="14">
    <w:abstractNumId w:val="3"/>
  </w:num>
  <w:num w:numId="15">
    <w:abstractNumId w:val="24"/>
  </w:num>
  <w:num w:numId="16">
    <w:abstractNumId w:val="13"/>
  </w:num>
  <w:num w:numId="17">
    <w:abstractNumId w:val="22"/>
  </w:num>
  <w:num w:numId="18">
    <w:abstractNumId w:val="5"/>
  </w:num>
  <w:num w:numId="19">
    <w:abstractNumId w:val="21"/>
  </w:num>
  <w:num w:numId="20">
    <w:abstractNumId w:val="18"/>
  </w:num>
  <w:num w:numId="21">
    <w:abstractNumId w:val="11"/>
  </w:num>
  <w:num w:numId="22">
    <w:abstractNumId w:val="10"/>
  </w:num>
  <w:num w:numId="23">
    <w:abstractNumId w:val="12"/>
  </w:num>
  <w:num w:numId="24">
    <w:abstractNumId w:val="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1F"/>
    <w:rsid w:val="00167233"/>
    <w:rsid w:val="001F5C1F"/>
    <w:rsid w:val="007F23DD"/>
    <w:rsid w:val="008E1E13"/>
    <w:rsid w:val="00C62EFC"/>
    <w:rsid w:val="00E337C6"/>
    <w:rsid w:val="00FC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DF0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C4DF0"/>
  </w:style>
  <w:style w:type="numbering" w:customStyle="1" w:styleId="11">
    <w:name w:val="Нет списка11"/>
    <w:next w:val="a2"/>
    <w:uiPriority w:val="99"/>
    <w:semiHidden/>
    <w:unhideWhenUsed/>
    <w:rsid w:val="00FC4DF0"/>
  </w:style>
  <w:style w:type="paragraph" w:styleId="a5">
    <w:name w:val="caption"/>
    <w:basedOn w:val="a"/>
    <w:next w:val="a"/>
    <w:uiPriority w:val="35"/>
    <w:unhideWhenUsed/>
    <w:qFormat/>
    <w:rsid w:val="00FC4DF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val="en-US" w:eastAsia="ru-RU"/>
    </w:rPr>
  </w:style>
  <w:style w:type="paragraph" w:styleId="a6">
    <w:name w:val="No Spacing"/>
    <w:uiPriority w:val="1"/>
    <w:qFormat/>
    <w:rsid w:val="00FC4D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RC Cyril" w:eastAsia="Times New Roman" w:hAnsi="Times NRC Cyril" w:cs="Times New Roman"/>
      <w:sz w:val="28"/>
      <w:szCs w:val="20"/>
      <w:lang w:val="en-US" w:eastAsia="ru-RU"/>
    </w:rPr>
  </w:style>
  <w:style w:type="paragraph" w:styleId="a7">
    <w:name w:val="Body Text"/>
    <w:basedOn w:val="a"/>
    <w:link w:val="a8"/>
    <w:semiHidden/>
    <w:rsid w:val="00FC4D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a8">
    <w:name w:val="Основной текст Знак"/>
    <w:basedOn w:val="a0"/>
    <w:link w:val="a7"/>
    <w:semiHidden/>
    <w:rsid w:val="00FC4DF0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Default">
    <w:name w:val="Default"/>
    <w:rsid w:val="00FC4D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FC4DF0"/>
    <w:pPr>
      <w:ind w:left="720"/>
      <w:contextualSpacing/>
    </w:pPr>
    <w:rPr>
      <w:rFonts w:eastAsiaTheme="minorEastAsia"/>
      <w:lang w:eastAsia="ru-RU"/>
    </w:rPr>
  </w:style>
  <w:style w:type="paragraph" w:styleId="aa">
    <w:name w:val="Plain Text"/>
    <w:aliases w:val="Plain Text Char"/>
    <w:basedOn w:val="a"/>
    <w:link w:val="ab"/>
    <w:rsid w:val="00FC4DF0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b">
    <w:name w:val="Текст Знак"/>
    <w:aliases w:val="Plain Text Char Знак"/>
    <w:basedOn w:val="a0"/>
    <w:link w:val="aa"/>
    <w:rsid w:val="00FC4DF0"/>
    <w:rPr>
      <w:rFonts w:ascii="Consolas" w:eastAsia="Calibri" w:hAnsi="Consolas" w:cs="Times New Roman"/>
      <w:sz w:val="21"/>
      <w:szCs w:val="21"/>
    </w:rPr>
  </w:style>
  <w:style w:type="paragraph" w:customStyle="1" w:styleId="txt">
    <w:name w:val="txt"/>
    <w:basedOn w:val="a"/>
    <w:rsid w:val="00FC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4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4DF0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C4DF0"/>
  </w:style>
  <w:style w:type="numbering" w:customStyle="1" w:styleId="11">
    <w:name w:val="Нет списка11"/>
    <w:next w:val="a2"/>
    <w:uiPriority w:val="99"/>
    <w:semiHidden/>
    <w:unhideWhenUsed/>
    <w:rsid w:val="00FC4DF0"/>
  </w:style>
  <w:style w:type="paragraph" w:styleId="a5">
    <w:name w:val="caption"/>
    <w:basedOn w:val="a"/>
    <w:next w:val="a"/>
    <w:uiPriority w:val="35"/>
    <w:unhideWhenUsed/>
    <w:qFormat/>
    <w:rsid w:val="00FC4DF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val="en-US" w:eastAsia="ru-RU"/>
    </w:rPr>
  </w:style>
  <w:style w:type="paragraph" w:styleId="a6">
    <w:name w:val="No Spacing"/>
    <w:uiPriority w:val="1"/>
    <w:qFormat/>
    <w:rsid w:val="00FC4D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RC Cyril" w:eastAsia="Times New Roman" w:hAnsi="Times NRC Cyril" w:cs="Times New Roman"/>
      <w:sz w:val="28"/>
      <w:szCs w:val="20"/>
      <w:lang w:val="en-US" w:eastAsia="ru-RU"/>
    </w:rPr>
  </w:style>
  <w:style w:type="paragraph" w:styleId="a7">
    <w:name w:val="Body Text"/>
    <w:basedOn w:val="a"/>
    <w:link w:val="a8"/>
    <w:semiHidden/>
    <w:rsid w:val="00FC4DF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a8">
    <w:name w:val="Основной текст Знак"/>
    <w:basedOn w:val="a0"/>
    <w:link w:val="a7"/>
    <w:semiHidden/>
    <w:rsid w:val="00FC4DF0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Default">
    <w:name w:val="Default"/>
    <w:rsid w:val="00FC4D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FC4DF0"/>
    <w:pPr>
      <w:ind w:left="720"/>
      <w:contextualSpacing/>
    </w:pPr>
    <w:rPr>
      <w:rFonts w:eastAsiaTheme="minorEastAsia"/>
      <w:lang w:eastAsia="ru-RU"/>
    </w:rPr>
  </w:style>
  <w:style w:type="paragraph" w:styleId="aa">
    <w:name w:val="Plain Text"/>
    <w:aliases w:val="Plain Text Char"/>
    <w:basedOn w:val="a"/>
    <w:link w:val="ab"/>
    <w:rsid w:val="00FC4DF0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b">
    <w:name w:val="Текст Знак"/>
    <w:aliases w:val="Plain Text Char Знак"/>
    <w:basedOn w:val="a0"/>
    <w:link w:val="aa"/>
    <w:rsid w:val="00FC4DF0"/>
    <w:rPr>
      <w:rFonts w:ascii="Consolas" w:eastAsia="Calibri" w:hAnsi="Consolas" w:cs="Times New Roman"/>
      <w:sz w:val="21"/>
      <w:szCs w:val="21"/>
    </w:rPr>
  </w:style>
  <w:style w:type="paragraph" w:customStyle="1" w:styleId="txt">
    <w:name w:val="txt"/>
    <w:basedOn w:val="a"/>
    <w:rsid w:val="00FC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0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30</Pages>
  <Words>2966</Words>
  <Characters>16911</Characters>
  <Application>Microsoft Office Word</Application>
  <DocSecurity>0</DocSecurity>
  <Lines>140</Lines>
  <Paragraphs>39</Paragraphs>
  <ScaleCrop>false</ScaleCrop>
  <Company>Microsoft</Company>
  <LinksUpToDate>false</LinksUpToDate>
  <CharactersWithSpaces>19838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Кафедра</cp:lastModifiedBy>
  <cp:revision>6</cp:revision>
  <dcterms:created xsi:type="dcterms:W3CDTF">2018-05-02T06:13:00Z</dcterms:created>
  <dcterms:modified xsi:type="dcterms:W3CDTF">2018-05-03T08:54:00Z</dcterms:modified>
</cp:coreProperties>
</file>